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96-5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Presse- und Öffentlichkeitsarbeit für den Sparkassen Münsterland Giro 2027 (+ Optionale Folgejahre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